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8"/>
        </w:rPr>
        <w:t>Карточка данных для расчёта утилизационного сбора</w:t>
      </w:r>
    </w:p>
    <w:p>
      <w:pPr>
        <w:spacing w:after="200"/>
      </w:pPr>
      <w:r>
        <w:rPr>
          <w:b w:val="0"/>
          <w:i/>
          <w:sz w:val="20"/>
        </w:rPr>
        <w:t>Черновик: собрать все цифры в одном месте до того, как заполнять формы.</w:t>
      </w:r>
    </w:p>
    <w:p>
      <w:pPr>
        <w:spacing w:after="80"/>
      </w:pPr>
      <w:r>
        <w:rPr>
          <w:b/>
          <w:i w:val="0"/>
          <w:sz w:val="24"/>
        </w:rPr>
        <w:t>Транспортное средство</w:t>
      </w:r>
    </w:p>
    <w:p>
      <w:pPr>
        <w:spacing w:after="160"/>
      </w:pPr>
      <w:r>
        <w:rPr>
          <w:b w:val="0"/>
          <w:i w:val="0"/>
          <w:sz w:val="22"/>
        </w:rPr>
        <w:t>Марка, модель: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Идентификационный номер (VIN):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Категория: M1, N, M2, M3, прицеп, иное: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 изготовления: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Объём двигателя, см³: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Мощность: л.с.: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Мощность: кВт: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Тип: бензин, дизель, гибрид, электро: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Для электро и последовательных гибридов: мощность тридцатиминутная, кВт: ______________________________________________________________________________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Проверка права на льготную ставку</w:t>
      </w:r>
    </w:p>
    <w:p>
      <w:pPr>
        <w:spacing w:after="120"/>
      </w:pPr>
      <w:r>
        <w:rPr>
          <w:b w:val="0"/>
          <w:i w:val="0"/>
          <w:sz w:val="22"/>
        </w:rPr>
        <w:t>Условия действуют одновременно. Не выполнено хотя бы одно — расчёт идёт по общей сетке.</w:t>
      </w:r>
    </w:p>
    <w:p>
      <w:pPr>
        <w:spacing w:after="60"/>
      </w:pPr>
      <w:r>
        <w:rPr>
          <w:b w:val="0"/>
          <w:i w:val="0"/>
          <w:sz w:val="22"/>
        </w:rPr>
        <w:t>☐  Ввозит физическое лицо для личного пользования</w:t>
      </w:r>
    </w:p>
    <w:p>
      <w:pPr>
        <w:spacing w:after="60"/>
      </w:pPr>
      <w:r>
        <w:rPr>
          <w:b w:val="0"/>
          <w:i w:val="0"/>
          <w:sz w:val="22"/>
        </w:rPr>
        <w:t>☐  Мощность до 160 л.с. (для электро и последовательных гибридов — до 80 л.с.)</w:t>
      </w:r>
    </w:p>
    <w:p>
      <w:pPr>
        <w:spacing w:after="60"/>
      </w:pPr>
      <w:r>
        <w:rPr>
          <w:b w:val="0"/>
          <w:i w:val="0"/>
          <w:sz w:val="22"/>
        </w:rPr>
        <w:t>☐  Объём двигателя до 3 000 см³</w:t>
      </w:r>
    </w:p>
    <w:p>
      <w:pPr>
        <w:spacing w:after="60"/>
      </w:pPr>
      <w:r>
        <w:rPr>
          <w:b w:val="0"/>
          <w:i w:val="0"/>
          <w:sz w:val="22"/>
        </w:rPr>
        <w:t>☐  Это первый автомобиль, ввозимый в текущем году</w:t>
      </w:r>
    </w:p>
    <w:p>
      <w:pPr>
        <w:spacing w:after="60"/>
      </w:pPr>
      <w:r>
        <w:rPr>
          <w:b w:val="0"/>
          <w:i w:val="0"/>
          <w:sz w:val="22"/>
        </w:rPr>
        <w:t>☐  Продажа в течение двенадцати месяцев не планируется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Расчёт</w:t>
      </w:r>
    </w:p>
    <w:p>
      <w:pPr>
        <w:spacing w:after="160"/>
      </w:pPr>
      <w:r>
        <w:rPr>
          <w:b w:val="0"/>
          <w:i w:val="0"/>
          <w:sz w:val="22"/>
        </w:rPr>
        <w:t>Базовая ставка, руб.: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Коэффициент по перечню: 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Возрастная группа: до 3 лет / старше 3 лет: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Итого сумма сбора, руб.: ______________________________________________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Что получилось на выходе</w:t>
      </w:r>
    </w:p>
    <w:p>
      <w:pPr>
        <w:spacing w:after="160"/>
      </w:pPr>
      <w:r>
        <w:rPr>
          <w:b w:val="0"/>
          <w:i w:val="0"/>
          <w:sz w:val="22"/>
        </w:rPr>
        <w:t>Номер и дата таможенного приходного ордера: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Дата, после которой продажа безопасна: 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Номер электронного паспорта: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Статус электронного паспорта на дату проверки: ______________________________________________________________________________</w:t>
      </w:r>
    </w:p>
    <w:p>
      <w:r>
        <w:br w:type="page"/>
      </w:r>
    </w:p>
    <w:p>
      <w:pPr>
        <w:spacing w:after="120"/>
      </w:pPr>
      <w:r>
        <w:rPr>
          <w:b/>
          <w:i w:val="0"/>
          <w:sz w:val="26"/>
        </w:rPr>
        <w:t>Как заполнить</w:t>
      </w:r>
    </w:p>
    <w:p>
      <w:pPr>
        <w:pStyle w:val="ListBullet"/>
        <w:spacing w:after="80"/>
      </w:pPr>
      <w:r>
        <w:t>Мощность выписывайте из документов в обеих единицах. Порог льготы в перечне задан в киловаттах — 117,68 кВт, и это ровно 160 л.с. Машина «118 кВт» порог уже перешла, хотя на слух звучит безобидно.</w:t>
      </w:r>
    </w:p>
    <w:p>
      <w:pPr>
        <w:pStyle w:val="ListBullet"/>
        <w:spacing w:after="80"/>
      </w:pPr>
      <w:r>
        <w:t>Объём смотрите точный, а не округлённый до литров: разница между 2 995 и 3 010 см³ переводит расчёт в следующий диапазон.</w:t>
      </w:r>
    </w:p>
    <w:p>
      <w:pPr>
        <w:pStyle w:val="ListBullet"/>
        <w:spacing w:after="80"/>
      </w:pPr>
      <w:r>
        <w:t>Дату, после которой продажа безопасна, считайте сразу: это дата приходного ордера плюс двенадцать месяцев. Запишите её, пока помните.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/>
          <w:i w:val="0"/>
          <w:sz w:val="26"/>
        </w:rPr>
        <w:t>Что важно знать</w:t>
      </w:r>
    </w:p>
    <w:p>
      <w:pPr>
        <w:pStyle w:val="ListBullet"/>
        <w:spacing w:after="80"/>
      </w:pPr>
      <w:r>
        <w:t>Базовая ставка для легкового автомобиля категории M1 — 20 000 рублей. Для грузовых, автобусов и прицепов она другая.</w:t>
      </w:r>
    </w:p>
    <w:p>
      <w:pPr>
        <w:pStyle w:val="ListBullet"/>
        <w:spacing w:after="80"/>
      </w:pPr>
      <w:r>
        <w:t>Льготная сумма для физического лица — 3 400 рублей для машины до трёх лет и 5 200 рублей для машины старше трёх лет. Эти суммы не индексируются.</w:t>
      </w:r>
    </w:p>
    <w:p>
      <w:pPr>
        <w:pStyle w:val="ListBullet"/>
        <w:spacing w:after="80"/>
      </w:pPr>
      <w:r>
        <w:t>Тридцатиминутная мощность — это мощность, которую электромотор держит длительно. Она ниже пиковой из рекламных материалов, и в расчёт идёт именно она.</w:t>
      </w:r>
    </w:p>
    <w:p>
      <w:pPr>
        <w:pStyle w:val="ListBullet"/>
        <w:spacing w:after="80"/>
      </w:pPr>
      <w:r>
        <w:t>Если сбор уплачен больше, чем следовало, его можно вернуть: заявление подаётся в течение трёх лет, на процедуру отводится тридцать календарных дней.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sz w:val="16"/>
        </w:rPr>
        <w:t>Бланк подготовлен редакцией utilka.online. Не является официально утверждённой формой.</w:t>
      </w:r>
    </w:p>
    <w:sectPr w:rsidR="00FC693F" w:rsidRPr="0006063C" w:rsidSect="00034616">
      <w:pgSz w:w="12240" w:h="15840"/>
      <w:pgMar w:top="1020" w:right="85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